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План просветительских мероприятий, </w:t>
        <w:br/>
        <w:t>направленных на создание в обществе атмосферы нетерпимости к коррупционным проявлениям,</w:t>
      </w:r>
    </w:p>
    <w:p>
      <w:pPr>
        <w:pStyle w:val="Style20"/>
        <w:spacing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 том числе на повышение эффективности антикоррупционного просвещения</w:t>
      </w:r>
    </w:p>
    <w:p>
      <w:pPr>
        <w:pStyle w:val="Style20"/>
        <w:spacing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zh-CN" w:bidi="ar-SA"/>
        </w:rPr>
        <w:t>М</w:t>
      </w:r>
      <w:r>
        <w:rPr>
          <w:rFonts w:ascii="PT Astra Serif" w:hAnsi="PT Astra Serif"/>
          <w:b/>
          <w:sz w:val="24"/>
          <w:szCs w:val="24"/>
        </w:rPr>
        <w:t>инистерства агропромышленного комплекса и развития сельских территорий Ульяновской области на 202</w:t>
      </w:r>
      <w:r>
        <w:rPr>
          <w:rFonts w:ascii="PT Astra Serif" w:hAnsi="PT Astra Serif"/>
          <w:b/>
          <w:sz w:val="24"/>
          <w:szCs w:val="24"/>
        </w:rPr>
        <w:t>3</w:t>
      </w:r>
      <w:r>
        <w:rPr>
          <w:rFonts w:ascii="PT Astra Serif" w:hAnsi="PT Astra Serif"/>
          <w:b/>
          <w:sz w:val="24"/>
          <w:szCs w:val="24"/>
        </w:rPr>
        <w:t xml:space="preserve"> год</w:t>
      </w:r>
    </w:p>
    <w:p>
      <w:pPr>
        <w:pStyle w:val="Style20"/>
        <w:spacing w:before="0" w:after="0"/>
        <w:jc w:val="center"/>
        <w:rPr>
          <w:b/>
          <w:b/>
        </w:rPr>
      </w:pPr>
      <w:r>
        <w:rPr>
          <w:b/>
        </w:rPr>
      </w:r>
    </w:p>
    <w:tbl>
      <w:tblPr>
        <w:tblW w:w="15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0269"/>
        <w:gridCol w:w="1764"/>
        <w:gridCol w:w="3087"/>
      </w:tblGrid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Изучение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методических, информационных и разъяснительных материалов об антикоррупционных стандартах поведения, </w:t>
            </w:r>
            <w:r>
              <w:rPr>
                <w:rFonts w:ascii="PT Astra Serif" w:hAnsi="PT Astra Serif"/>
                <w:sz w:val="24"/>
                <w:szCs w:val="24"/>
              </w:rPr>
              <w:t>доведение данных материалов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лиц, замещающих должности государственной гражданской службы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М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инистерства агропромышленного комплекса и развития сельских территорий Ульяновской области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далее – 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инистерство), а также руководителей подведомственного 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инистерству учреждения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в течение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202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Проведение с работниками 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Министерства и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 подведомственного учреждения обучающих мероприятий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первый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 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Изучение опыта и применение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исполнительных органов государственной власти 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субъектов РФ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второй </w:t>
            </w:r>
            <w:r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Опубликование на официальном сайте 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инистерства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указанного сайта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третий квартал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Указание на недопустимость совершения коррупционных правонарушений лицам,</w:t>
            </w:r>
          </w:p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претендующим на получением мер государственной поддержки</w:t>
            </w:r>
          </w:p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в сфере агропромышленного комплекса и развития сельских территорий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в течение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202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 департамент финансов 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Центр компетенций в сфере сельскохозяйственной кооперации и поддержки фермеров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</w:tbl>
    <w:p>
      <w:pPr>
        <w:pStyle w:val="Style20"/>
        <w:spacing w:before="0" w:after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</w:t>
      </w:r>
    </w:p>
    <w:sectPr>
      <w:footerReference w:type="default" r:id="rId2"/>
      <w:type w:val="nextPage"/>
      <w:pgSz w:orient="landscape" w:w="16838" w:h="11906"/>
      <w:pgMar w:left="686" w:right="567" w:header="0" w:top="70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3">
    <w:name w:val="Знак3"/>
    <w:basedOn w:val="Normal"/>
    <w:next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Application>LibreOffice/6.4.7.2$Linux_X86_64 LibreOffice_project/40$Build-2</Application>
  <Pages>1</Pages>
  <Words>277</Words>
  <Characters>2288</Characters>
  <CharactersWithSpaces>2516</CharactersWithSpaces>
  <Paragraphs>52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2020-12-10T16:01:00Z</dcterms:created>
  <dc:creator>ZaharovaOksana</dc:creator>
  <dc:description/>
  <dc:language>ru-RU</dc:language>
  <cp:lastModifiedBy/>
  <cp:lastPrinted>2020-12-10T17:02:43Z</cp:lastPrinted>
  <dcterms:modified xsi:type="dcterms:W3CDTF">2023-02-02T08:25:05Z</dcterms:modified>
  <cp:revision>32</cp:revision>
  <dc:subject/>
  <dc:title>Постановление Правительства Ульяновской области от 14.11.2019 N 26/578-П(ред. от 27.04.2020)"Об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